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D4700" w14:textId="4E6B665F" w:rsidR="0097488D" w:rsidRPr="0097488D" w:rsidRDefault="0097488D" w:rsidP="0097488D">
      <w:pPr>
        <w:spacing w:line="360" w:lineRule="auto"/>
        <w:rPr>
          <w:rFonts w:ascii="Times New Roman" w:eastAsia="黑体" w:hAnsi="Times New Roman" w:cs="Times New Roman"/>
          <w:sz w:val="36"/>
          <w:szCs w:val="36"/>
        </w:rPr>
      </w:pPr>
      <w:r w:rsidRPr="0097488D">
        <w:rPr>
          <w:rFonts w:ascii="Times New Roman" w:eastAsia="黑体" w:hAnsi="Times New Roman" w:cs="Times New Roman"/>
          <w:sz w:val="36"/>
          <w:szCs w:val="36"/>
        </w:rPr>
        <w:t>附件</w:t>
      </w:r>
      <w:r w:rsidRPr="0097488D">
        <w:rPr>
          <w:rFonts w:ascii="Times New Roman" w:eastAsia="黑体" w:hAnsi="Times New Roman" w:cs="Times New Roman"/>
          <w:sz w:val="36"/>
          <w:szCs w:val="36"/>
        </w:rPr>
        <w:t>3.</w:t>
      </w:r>
    </w:p>
    <w:p w14:paraId="57EEBF6C" w14:textId="781D922A" w:rsidR="00DD0258" w:rsidRDefault="00AF0960" w:rsidP="00917FF9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6"/>
          <w:szCs w:val="36"/>
        </w:rPr>
        <w:t>优质中成药产品评价细则</w:t>
      </w:r>
    </w:p>
    <w:p w14:paraId="7D3277AF" w14:textId="77777777" w:rsidR="00DD0258" w:rsidRPr="00917FF9" w:rsidRDefault="00AF0960" w:rsidP="00917FF9">
      <w:pPr>
        <w:spacing w:beforeLines="100" w:before="312" w:afterLines="50" w:after="156" w:line="360" w:lineRule="auto"/>
        <w:rPr>
          <w:rFonts w:ascii="黑体" w:eastAsia="黑体" w:hAnsi="黑体" w:cs="Times New Roman"/>
          <w:b/>
          <w:color w:val="000000" w:themeColor="text1"/>
          <w:sz w:val="28"/>
          <w:szCs w:val="28"/>
        </w:rPr>
      </w:pPr>
      <w:r w:rsidRPr="00917FF9">
        <w:rPr>
          <w:rFonts w:ascii="黑体" w:eastAsia="黑体" w:hAnsi="黑体" w:cs="Times New Roman"/>
          <w:b/>
          <w:color w:val="000000" w:themeColor="text1"/>
          <w:sz w:val="28"/>
          <w:szCs w:val="28"/>
        </w:rPr>
        <w:t>一</w:t>
      </w:r>
      <w:r w:rsidRPr="00917FF9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、</w:t>
      </w:r>
      <w:r w:rsidRPr="00917FF9">
        <w:rPr>
          <w:rFonts w:ascii="黑体" w:eastAsia="黑体" w:hAnsi="黑体" w:cs="Times New Roman"/>
          <w:b/>
          <w:color w:val="000000" w:themeColor="text1"/>
          <w:sz w:val="28"/>
          <w:szCs w:val="28"/>
        </w:rPr>
        <w:t>原料选材</w:t>
      </w:r>
      <w:r w:rsidRPr="00917FF9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（</w:t>
      </w:r>
      <w:r w:rsidRPr="00917FF9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30</w:t>
      </w:r>
      <w:r w:rsidRPr="00917FF9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分）</w:t>
      </w:r>
    </w:p>
    <w:p w14:paraId="14267288" w14:textId="77777777" w:rsidR="00DD0258" w:rsidRPr="00917FF9" w:rsidRDefault="00AF0960" w:rsidP="00917FF9">
      <w:pPr>
        <w:spacing w:line="360" w:lineRule="auto"/>
        <w:ind w:firstLineChars="202" w:firstLine="487"/>
        <w:rPr>
          <w:rFonts w:ascii="黑体" w:eastAsia="黑体" w:hAnsi="黑体" w:cs="Times New Roman"/>
          <w:b/>
          <w:color w:val="000000" w:themeColor="text1"/>
          <w:sz w:val="24"/>
          <w:szCs w:val="24"/>
        </w:rPr>
      </w:pPr>
      <w:r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 xml:space="preserve">1. </w:t>
      </w:r>
      <w:r w:rsidRPr="00917FF9">
        <w:rPr>
          <w:rFonts w:ascii="黑体" w:eastAsia="黑体" w:hAnsi="黑体" w:cs="Times New Roman"/>
          <w:b/>
          <w:color w:val="000000" w:themeColor="text1"/>
          <w:sz w:val="24"/>
          <w:szCs w:val="24"/>
        </w:rPr>
        <w:t>药材</w:t>
      </w:r>
      <w:r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>质量</w:t>
      </w:r>
    </w:p>
    <w:p w14:paraId="22048BEC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来源固定：药材来源于固定省份、固定区县、固定供应商、是否可实现药材种植源头追溯。</w:t>
      </w:r>
    </w:p>
    <w:p w14:paraId="23789F46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物种清晰：有准确的物种鉴定方法（药典鉴别，其它鉴别如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DNA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等），提供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年内生产使用的药材均为同一物种相关证明等。</w:t>
      </w:r>
    </w:p>
    <w:p w14:paraId="6582FF4B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注：申报企业提供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1.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复核样品（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年内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5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批次）所涉及的药材供应情况说明及固定来源证明；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 xml:space="preserve">2.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复核样品（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年内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5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批次）所涉及的原料药材鉴定记录或报告；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3.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药材种植源头追溯信息等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</w:p>
    <w:p w14:paraId="6D88C94B" w14:textId="77777777" w:rsidR="00DD0258" w:rsidRPr="00917FF9" w:rsidRDefault="00AF0960" w:rsidP="00917FF9">
      <w:pPr>
        <w:spacing w:line="360" w:lineRule="auto"/>
        <w:ind w:firstLineChars="202" w:firstLine="487"/>
        <w:rPr>
          <w:rFonts w:ascii="黑体" w:eastAsia="黑体" w:hAnsi="黑体" w:cs="Times New Roman"/>
          <w:b/>
          <w:color w:val="000000" w:themeColor="text1"/>
          <w:sz w:val="24"/>
          <w:szCs w:val="24"/>
        </w:rPr>
      </w:pPr>
      <w:r w:rsidRPr="00917FF9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>饮片质量</w:t>
      </w:r>
    </w:p>
    <w:p w14:paraId="339F3569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炮制情况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：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按照规定方法炮制，来自于固定饮片厂，来自于自有饮片厂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14:paraId="7DD0DE06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质量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均一：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饮片质量检验合格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报告（含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外源性污染控制方法和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数据）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，指标成分含量变化范围小于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50%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、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指标成分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含量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变化范围小于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30%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，有质量均一性控制方法和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分析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报告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（同指标不累加）</w:t>
      </w:r>
    </w:p>
    <w:p w14:paraId="50E28710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质量等级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：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统货，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三等，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二等，一等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14:paraId="1D644675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储藏条件：所涉及中药饮片按药典要求储藏，实际库房监测记录证明等。</w:t>
      </w:r>
    </w:p>
    <w:p w14:paraId="2AEFC195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注：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1.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申报企业提供所申报品种涉及原料饮片（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年内至少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5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批次）的质检情况报告及指标成分含量变化范围说明；</w:t>
      </w:r>
    </w:p>
    <w:p w14:paraId="4AE24B1E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2.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 xml:space="preserve"> </w:t>
      </w:r>
      <w:bookmarkStart w:id="1" w:name="_Hlk57219827"/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指标成分含量变化范围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=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（样品指标成分测定的最大值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-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样品指标成分测定的最小值）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/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样品指标成分测定的均值×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00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%</w:t>
      </w:r>
      <w:bookmarkEnd w:id="1"/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；</w:t>
      </w:r>
    </w:p>
    <w:p w14:paraId="66689D81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3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需提供饮片等级说明及检测证明性文件；</w:t>
      </w:r>
    </w:p>
    <w:p w14:paraId="566F555F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4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申报品种若涉及多味药材和饮片原料需逐一说明以上情况，报告说明均为复核样品（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年内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5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批次）所涉及原料饮片情况。</w:t>
      </w:r>
    </w:p>
    <w:p w14:paraId="61D75AC6" w14:textId="3C620DBF" w:rsidR="00DD0258" w:rsidRPr="006A0259" w:rsidRDefault="00AF0960" w:rsidP="006A0259">
      <w:pPr>
        <w:spacing w:beforeLines="100" w:before="312" w:afterLines="50" w:after="156" w:line="360" w:lineRule="auto"/>
        <w:rPr>
          <w:rFonts w:ascii="黑体" w:eastAsia="黑体" w:hAnsi="黑体" w:cs="Times New Roman"/>
          <w:b/>
          <w:color w:val="000000" w:themeColor="text1"/>
          <w:sz w:val="28"/>
          <w:szCs w:val="28"/>
        </w:rPr>
      </w:pPr>
      <w:bookmarkStart w:id="2" w:name="_Hlk508307618"/>
      <w:r w:rsidRPr="006A0259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二、</w:t>
      </w:r>
      <w:r w:rsidRPr="006A0259">
        <w:rPr>
          <w:rFonts w:ascii="黑体" w:eastAsia="黑体" w:hAnsi="黑体" w:cs="Times New Roman"/>
          <w:b/>
          <w:color w:val="000000" w:themeColor="text1"/>
          <w:sz w:val="28"/>
          <w:szCs w:val="28"/>
        </w:rPr>
        <w:t>生产过程</w:t>
      </w:r>
      <w:r w:rsidRPr="006A0259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（</w:t>
      </w:r>
      <w:r w:rsidR="0083430D" w:rsidRPr="006A0259">
        <w:rPr>
          <w:rFonts w:ascii="黑体" w:eastAsia="黑体" w:hAnsi="黑体" w:cs="Times New Roman"/>
          <w:b/>
          <w:color w:val="000000" w:themeColor="text1"/>
          <w:sz w:val="28"/>
          <w:szCs w:val="28"/>
        </w:rPr>
        <w:t>20</w:t>
      </w:r>
      <w:r w:rsidRPr="006A0259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分）</w:t>
      </w:r>
    </w:p>
    <w:p w14:paraId="1DC23599" w14:textId="1D01C069" w:rsidR="00DD0258" w:rsidRPr="00917FF9" w:rsidRDefault="008D5E2B" w:rsidP="00917FF9">
      <w:pPr>
        <w:spacing w:line="360" w:lineRule="auto"/>
        <w:ind w:firstLineChars="202" w:firstLine="487"/>
        <w:rPr>
          <w:rFonts w:ascii="黑体" w:eastAsia="黑体" w:hAnsi="黑体" w:cs="Times New Roman"/>
          <w:b/>
          <w:color w:val="000000" w:themeColor="text1"/>
          <w:sz w:val="24"/>
          <w:szCs w:val="24"/>
        </w:rPr>
      </w:pPr>
      <w:r w:rsidRPr="00917FF9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AF0960" w:rsidRPr="00917FF9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F0960"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>技术工艺</w:t>
      </w:r>
    </w:p>
    <w:p w14:paraId="3E8EF5FD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自动化程度：关键性生产设备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自动化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，全过程自动化。</w:t>
      </w:r>
    </w:p>
    <w:p w14:paraId="0D7FC8B9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工艺先进性：生产环节有技术创新，具备相关专利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个；相关专利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个及以上</w:t>
      </w:r>
      <w:bookmarkStart w:id="3" w:name="_Hlk74756870"/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（同指标不累加）</w:t>
      </w:r>
      <w:bookmarkEnd w:id="3"/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14:paraId="7A442490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注：申报者提供生产线描述、数据及流程图、照片及技术创新情况说明等。</w:t>
      </w:r>
    </w:p>
    <w:p w14:paraId="233BB3D5" w14:textId="673F2C3F" w:rsidR="00DD0258" w:rsidRPr="00917FF9" w:rsidRDefault="008D5E2B" w:rsidP="00917FF9">
      <w:pPr>
        <w:spacing w:line="360" w:lineRule="auto"/>
        <w:ind w:firstLineChars="202" w:firstLine="487"/>
        <w:rPr>
          <w:rFonts w:ascii="黑体" w:eastAsia="黑体" w:hAnsi="黑体" w:cs="Times New Roman"/>
          <w:b/>
          <w:color w:val="000000" w:themeColor="text1"/>
          <w:sz w:val="24"/>
          <w:szCs w:val="24"/>
        </w:rPr>
      </w:pPr>
      <w:r w:rsidRPr="00917FF9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>2</w:t>
      </w:r>
      <w:r w:rsidR="00AF0960" w:rsidRPr="00917FF9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>.</w:t>
      </w:r>
      <w:r w:rsidR="00AF0960"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 xml:space="preserve"> </w:t>
      </w:r>
      <w:r w:rsidR="00AF0960" w:rsidRPr="00917FF9">
        <w:rPr>
          <w:rFonts w:ascii="黑体" w:eastAsia="黑体" w:hAnsi="黑体" w:cs="Times New Roman"/>
          <w:b/>
          <w:color w:val="000000" w:themeColor="text1"/>
          <w:sz w:val="24"/>
          <w:szCs w:val="24"/>
        </w:rPr>
        <w:t>监控</w:t>
      </w:r>
      <w:r w:rsidR="00AF0960"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>体系</w:t>
      </w:r>
    </w:p>
    <w:p w14:paraId="446EAE3F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监控程度：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主要中间过程有检测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（原料、中间体、成品）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，生产全过程实现检测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（包括提取、浓缩、制剂、包装等过程）。</w:t>
      </w:r>
    </w:p>
    <w:p w14:paraId="651F85BE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注：申报者提供监测描述、数据及监控照片。</w:t>
      </w:r>
    </w:p>
    <w:p w14:paraId="055AC895" w14:textId="7D915E40" w:rsidR="00DD0258" w:rsidRPr="00917FF9" w:rsidRDefault="008D5E2B" w:rsidP="00917FF9">
      <w:pPr>
        <w:spacing w:line="360" w:lineRule="auto"/>
        <w:ind w:firstLineChars="202" w:firstLine="487"/>
        <w:rPr>
          <w:rFonts w:ascii="黑体" w:eastAsia="黑体" w:hAnsi="黑体" w:cs="Times New Roman"/>
          <w:b/>
          <w:color w:val="000000" w:themeColor="text1"/>
          <w:sz w:val="24"/>
          <w:szCs w:val="24"/>
        </w:rPr>
      </w:pPr>
      <w:r w:rsidRPr="00917FF9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>3.</w:t>
      </w:r>
      <w:r w:rsidR="00AF0960" w:rsidRPr="00917FF9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0960"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>质量传递</w:t>
      </w:r>
    </w:p>
    <w:p w14:paraId="06CDA797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规律清晰：关键生产过程明确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，生产过程控制参数依据充分，生产过程中物质传递规律清晰稳定。</w:t>
      </w:r>
    </w:p>
    <w:p w14:paraId="1AA30CD2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注：申报单位提供复核样本生产过程中转移率、指标成分等反映质量传递有关数据及说明材料。</w:t>
      </w:r>
    </w:p>
    <w:bookmarkEnd w:id="2"/>
    <w:p w14:paraId="7C2F9A45" w14:textId="14759316" w:rsidR="00DD0258" w:rsidRPr="006A0259" w:rsidRDefault="00AF0960" w:rsidP="006A0259">
      <w:pPr>
        <w:spacing w:beforeLines="100" w:before="312" w:afterLines="50" w:after="156" w:line="360" w:lineRule="auto"/>
        <w:rPr>
          <w:rFonts w:ascii="黑体" w:eastAsia="黑体" w:hAnsi="黑体" w:cs="Times New Roman"/>
          <w:b/>
          <w:color w:val="000000" w:themeColor="text1"/>
          <w:sz w:val="28"/>
          <w:szCs w:val="28"/>
        </w:rPr>
      </w:pPr>
      <w:r w:rsidRPr="006A0259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三、质量控制（</w:t>
      </w:r>
      <w:r w:rsidR="0083430D" w:rsidRPr="006A0259">
        <w:rPr>
          <w:rFonts w:ascii="黑体" w:eastAsia="黑体" w:hAnsi="黑体" w:cs="Times New Roman"/>
          <w:b/>
          <w:color w:val="000000" w:themeColor="text1"/>
          <w:sz w:val="28"/>
          <w:szCs w:val="28"/>
        </w:rPr>
        <w:t>30</w:t>
      </w:r>
      <w:r w:rsidRPr="006A0259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分）</w:t>
      </w:r>
    </w:p>
    <w:p w14:paraId="493E3BEE" w14:textId="77777777" w:rsidR="00DD0258" w:rsidRPr="00917FF9" w:rsidRDefault="00AF0960" w:rsidP="00917FF9">
      <w:pPr>
        <w:spacing w:line="360" w:lineRule="auto"/>
        <w:ind w:firstLineChars="202" w:firstLine="487"/>
        <w:rPr>
          <w:rFonts w:ascii="黑体" w:eastAsia="黑体" w:hAnsi="黑体" w:cs="Times New Roman"/>
          <w:b/>
          <w:color w:val="000000" w:themeColor="text1"/>
          <w:sz w:val="24"/>
          <w:szCs w:val="24"/>
        </w:rPr>
      </w:pPr>
      <w:r w:rsidRPr="00917FF9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>1.</w:t>
      </w:r>
      <w:r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 xml:space="preserve"> 质量标准</w:t>
      </w:r>
    </w:p>
    <w:p w14:paraId="738E04D5" w14:textId="66A517D2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内控标准：</w:t>
      </w:r>
      <w:r w:rsidR="009B62B1"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内控薄层鉴定及指纹</w:t>
      </w:r>
      <w:r w:rsidR="009B62B1"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/</w:t>
      </w:r>
      <w:r w:rsidR="009B62B1"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特征图谱能体现所有药味的信息、内控含量测定指标体现所有药味信息</w:t>
      </w:r>
      <w:r w:rsidR="009B62B1"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情况。</w:t>
      </w:r>
    </w:p>
    <w:p w14:paraId="2A5C4462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指纹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/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特征图谱：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原料采用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指纹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/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特征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图谱控制、中间体采用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指纹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/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特征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图谱控制、成品指纹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/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特征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图谱合理、原料成分能在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指纹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/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特征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图谱中辨识程度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14:paraId="30B837BF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制剂稳定：关键检测指标指标成分含量变化范围小于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%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；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指标成分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含量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变化范围小于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10%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（同指标不累加）；效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期内指纹图谱相似度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&gt;0.95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，崩解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/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溶散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/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融变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/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溶化时限变化范围小于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0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%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（同指标不累加）。</w:t>
      </w:r>
    </w:p>
    <w:p w14:paraId="263F738E" w14:textId="77777777" w:rsidR="00DD0258" w:rsidRPr="00917FF9" w:rsidRDefault="00AF0960" w:rsidP="0059273C">
      <w:pPr>
        <w:spacing w:line="360" w:lineRule="auto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注：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申报者提供品种生产所涉及的质量标准的标准正文及执行情况说明；</w:t>
      </w:r>
    </w:p>
    <w:p w14:paraId="6B40C7E7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提供原料、中间体、成品指纹图谱控制数据和情况说明；</w:t>
      </w:r>
    </w:p>
    <w:p w14:paraId="2F41E766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3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制剂稳定性需提供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年内产品（同批次效期内不同时间）稳定性考察数据及情况分析，指标成分含量变化范围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=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（样品指标成分测定的最大值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-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样品指标成分测定的最小值）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/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样品指标成分测定的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均值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×100%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14:paraId="0E56FEE9" w14:textId="77777777" w:rsidR="00DD0258" w:rsidRPr="00917FF9" w:rsidRDefault="00AF0960" w:rsidP="00917FF9">
      <w:pPr>
        <w:spacing w:line="360" w:lineRule="auto"/>
        <w:ind w:firstLineChars="202" w:firstLine="487"/>
        <w:rPr>
          <w:rFonts w:ascii="黑体" w:eastAsia="黑体" w:hAnsi="黑体" w:cs="Times New Roman"/>
          <w:b/>
          <w:color w:val="000000" w:themeColor="text1"/>
          <w:sz w:val="24"/>
          <w:szCs w:val="24"/>
        </w:rPr>
      </w:pPr>
      <w:bookmarkStart w:id="4" w:name="_Hlk508309131"/>
      <w:r w:rsidRPr="00917FF9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 xml:space="preserve">质量一致性 </w:t>
      </w:r>
    </w:p>
    <w:p w14:paraId="3A7DF5BB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一致性控制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方法：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方法明确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及可实施性。</w:t>
      </w:r>
    </w:p>
    <w:p w14:paraId="0D48CC8C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批内一致性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：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指标成分含量变化范围小于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15%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，指标成分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含量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变化范围小于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7%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（同指标不累加），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批内指纹图谱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相似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度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&gt;0.99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</w:p>
    <w:p w14:paraId="3CDBC085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批间一致性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：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指标成分含量变化范围小于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3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0%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、指标成分含量变化范围小于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20%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、指标成分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含量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变化范围小于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10%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（同指标不累加）；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批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间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指纹图谱相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似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度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&gt;0.95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，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&gt;0.98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（同指标不累加）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</w:p>
    <w:p w14:paraId="557587DB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注：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指标成分含量变化范围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=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（样品指标成分测定的最大值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-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样品指标成分测定的最小值）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/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样品指标成分测定的均值×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00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%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；</w:t>
      </w:r>
    </w:p>
    <w:p w14:paraId="18E9B8B9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2.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参评企业提供所申报产品的一致性控制方法和相关数据；</w:t>
      </w:r>
    </w:p>
    <w:p w14:paraId="596054B7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3.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品种含多个指标成分，按成分差异最大评价。</w:t>
      </w:r>
    </w:p>
    <w:p w14:paraId="5F9EE392" w14:textId="77777777" w:rsidR="00DD0258" w:rsidRPr="00917FF9" w:rsidRDefault="00AF0960" w:rsidP="00917FF9">
      <w:pPr>
        <w:spacing w:line="360" w:lineRule="auto"/>
        <w:jc w:val="left"/>
        <w:rPr>
          <w:rFonts w:ascii="黑体" w:eastAsia="黑体" w:hAnsi="黑体" w:cs="Times New Roman"/>
          <w:sz w:val="28"/>
          <w:szCs w:val="28"/>
        </w:rPr>
      </w:pPr>
      <w:r w:rsidRPr="00917FF9">
        <w:rPr>
          <w:rFonts w:ascii="黑体" w:eastAsia="黑体" w:hAnsi="黑体" w:cs="Times New Roman" w:hint="eastAsia"/>
          <w:sz w:val="28"/>
          <w:szCs w:val="28"/>
        </w:rPr>
        <w:t>四、上市后研究（</w:t>
      </w:r>
      <w:r w:rsidRPr="00917FF9">
        <w:rPr>
          <w:rFonts w:ascii="黑体" w:eastAsia="黑体" w:hAnsi="黑体" w:cs="Times New Roman"/>
          <w:sz w:val="28"/>
          <w:szCs w:val="28"/>
        </w:rPr>
        <w:t>20</w:t>
      </w:r>
      <w:r w:rsidRPr="00917FF9">
        <w:rPr>
          <w:rFonts w:ascii="黑体" w:eastAsia="黑体" w:hAnsi="黑体" w:cs="Times New Roman" w:hint="eastAsia"/>
          <w:sz w:val="28"/>
          <w:szCs w:val="28"/>
        </w:rPr>
        <w:t>分）</w:t>
      </w:r>
    </w:p>
    <w:p w14:paraId="6D8D31E0" w14:textId="7E766EED" w:rsidR="00DD0258" w:rsidRPr="00917FF9" w:rsidRDefault="00AF0960" w:rsidP="00917FF9">
      <w:pPr>
        <w:spacing w:line="360" w:lineRule="auto"/>
        <w:ind w:firstLineChars="202" w:firstLine="487"/>
        <w:rPr>
          <w:rFonts w:ascii="黑体" w:eastAsia="黑体" w:hAnsi="黑体" w:cs="Times New Roman"/>
          <w:b/>
          <w:color w:val="000000" w:themeColor="text1"/>
          <w:sz w:val="24"/>
          <w:szCs w:val="24"/>
        </w:rPr>
      </w:pPr>
      <w:r w:rsidRPr="00917FF9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>安全性</w:t>
      </w:r>
      <w:r w:rsidR="00BF57DD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>和有效性</w:t>
      </w:r>
    </w:p>
    <w:p w14:paraId="5CBF5669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提供临床不良反应监测数据、品种上市后企业主动开展的安全性研究报告、引起不良反应毒性成分明确具有限量标准等。</w:t>
      </w:r>
    </w:p>
    <w:p w14:paraId="715FBCBC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主动开展申报品种有效性评价研究报告，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针对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品种有效性研究的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科技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论文数量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篇及以上，论文影响因子大于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或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SCI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文章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篇及以上（同指标不累加）。</w:t>
      </w:r>
      <w:bookmarkEnd w:id="4"/>
    </w:p>
    <w:p w14:paraId="00D8622D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注：申报单位在论文中有署名，论文必须核心期刊以上。</w:t>
      </w:r>
    </w:p>
    <w:p w14:paraId="083AFECA" w14:textId="67A129A3" w:rsidR="00DD0258" w:rsidRPr="00917FF9" w:rsidRDefault="00BF57DD" w:rsidP="00917FF9">
      <w:pPr>
        <w:spacing w:line="360" w:lineRule="auto"/>
        <w:ind w:firstLineChars="202" w:firstLine="487"/>
        <w:rPr>
          <w:rFonts w:ascii="黑体" w:eastAsia="黑体" w:hAnsi="黑体" w:cs="Times New Roman"/>
          <w:b/>
          <w:color w:val="000000" w:themeColor="text1"/>
          <w:sz w:val="24"/>
          <w:szCs w:val="24"/>
        </w:rPr>
      </w:pPr>
      <w:r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>2</w:t>
      </w:r>
      <w:r w:rsidR="00AF0960"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 xml:space="preserve"> </w:t>
      </w:r>
      <w:r w:rsidR="00901FDF" w:rsidRPr="00901FDF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>科技竞争力</w:t>
      </w:r>
    </w:p>
    <w:p w14:paraId="5A4D45D4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与申报品种相关获奖：国家级奖励一等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、二等；省市一等奖、二等奖、三等奖；具有推荐参与国家评奖的行业学会奖项一等、二等奖、三等奖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；其他。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（三项不累加）</w:t>
      </w:r>
    </w:p>
    <w:p w14:paraId="617CAF11" w14:textId="77777777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针对申报品种出版的论著、发表的科技论文和申报专利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总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数量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大于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，大于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5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篇，论文影响因子大于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或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SCI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文章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篇及以上</w:t>
      </w:r>
      <w:bookmarkStart w:id="5" w:name="_Hlk74756712"/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（同指标不累加）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  <w:bookmarkEnd w:id="5"/>
    </w:p>
    <w:p w14:paraId="075507A1" w14:textId="77777777" w:rsidR="00DD0258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注：申报单位在论文中有署名，论文必须核心期刊及以上。</w:t>
      </w:r>
    </w:p>
    <w:p w14:paraId="52C2F4E2" w14:textId="09AFF0DB" w:rsidR="00CD393F" w:rsidRPr="00731041" w:rsidRDefault="00CD393F" w:rsidP="00F349AE">
      <w:pPr>
        <w:spacing w:line="360" w:lineRule="auto"/>
        <w:ind w:firstLineChars="202" w:firstLine="485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731041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由权威机构发布的全国市场占有率</w:t>
      </w:r>
      <w:r w:rsidR="001632A8" w:rsidRPr="00731041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证明</w:t>
      </w:r>
      <w:r w:rsidRPr="00731041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：排名第一，排名第二，排名第三。</w:t>
      </w:r>
    </w:p>
    <w:p w14:paraId="5BE843EB" w14:textId="531BEDBF" w:rsidR="00DD0258" w:rsidRPr="00F349AE" w:rsidRDefault="003D4159" w:rsidP="00F349AE">
      <w:pPr>
        <w:spacing w:line="360" w:lineRule="auto"/>
        <w:ind w:firstLineChars="200" w:firstLine="482"/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</w:pPr>
      <w:r w:rsidRPr="00F349AE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1FDF" w:rsidRPr="00F349AE">
        <w:rPr>
          <w:rFonts w:ascii="Times New Roman" w:eastAsia="黑体" w:hAnsi="Times New Roman" w:cs="Times New Roman" w:hint="eastAsia"/>
          <w:b/>
          <w:color w:val="000000" w:themeColor="text1"/>
          <w:sz w:val="24"/>
          <w:szCs w:val="24"/>
        </w:rPr>
        <w:t>3</w:t>
      </w:r>
      <w:r w:rsidRPr="00F349AE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>.</w:t>
      </w:r>
      <w:r w:rsidR="00AF0960" w:rsidRPr="00F349AE">
        <w:rPr>
          <w:rFonts w:ascii="Times New Roman" w:eastAsia="黑体" w:hAnsi="Times New Roman" w:cs="Times New Roman" w:hint="eastAsia"/>
          <w:b/>
          <w:color w:val="000000" w:themeColor="text1"/>
          <w:sz w:val="24"/>
          <w:szCs w:val="24"/>
        </w:rPr>
        <w:t>其它</w:t>
      </w:r>
    </w:p>
    <w:p w14:paraId="59BDCA84" w14:textId="038693A8" w:rsidR="00DD0258" w:rsidRPr="00917FF9" w:rsidRDefault="00AF0960" w:rsidP="00F349AE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药品创新程度</w:t>
      </w:r>
      <w:r w:rsidR="00F349A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（注册分类）</w:t>
      </w:r>
      <w:r w:rsidR="00320E0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，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提供申报品种的新药证书和注册批件复印件。国际化进程：</w:t>
      </w:r>
      <w:r w:rsidR="0032239A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如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国际化临床试验</w:t>
      </w:r>
      <w:r w:rsidR="0032239A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阶段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，产品出口欧美日</w:t>
      </w:r>
      <w:r w:rsidR="0032239A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或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其它国家。注：提供注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lastRenderedPageBreak/>
        <w:t>册或出口相关证明</w:t>
      </w:r>
      <w:r w:rsidR="0032239A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等；</w:t>
      </w:r>
      <w:r w:rsidR="006E56B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产品抽查及反馈</w:t>
      </w:r>
      <w:r w:rsidR="0059273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、</w:t>
      </w:r>
      <w:r w:rsidR="0059273C"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消费者投诉</w:t>
      </w:r>
      <w:r w:rsidR="006E56B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等情况。</w:t>
      </w:r>
    </w:p>
    <w:p w14:paraId="63C86193" w14:textId="77777777" w:rsidR="00DD0258" w:rsidRPr="00917FF9" w:rsidRDefault="00AF0960" w:rsidP="00917FF9">
      <w:pPr>
        <w:spacing w:beforeLines="100" w:before="312" w:afterLines="50" w:after="156" w:line="360" w:lineRule="auto"/>
        <w:rPr>
          <w:rFonts w:ascii="黑体" w:eastAsia="黑体" w:hAnsi="黑体" w:cs="Times New Roman"/>
          <w:b/>
          <w:color w:val="000000" w:themeColor="text1"/>
          <w:sz w:val="24"/>
          <w:szCs w:val="24"/>
        </w:rPr>
      </w:pPr>
      <w:r w:rsidRPr="00917FF9">
        <w:rPr>
          <w:rFonts w:ascii="黑体" w:eastAsia="黑体" w:hAnsi="黑体" w:cs="Times New Roman" w:hint="eastAsia"/>
          <w:b/>
          <w:color w:val="000000" w:themeColor="text1"/>
          <w:sz w:val="24"/>
          <w:szCs w:val="24"/>
        </w:rPr>
        <w:t>备注：</w:t>
      </w:r>
    </w:p>
    <w:p w14:paraId="19543E17" w14:textId="2BF01612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所有打分项由企业提供参选品种的相应支撑证明材料，供评审专家评定打分</w:t>
      </w:r>
      <w:r w:rsidR="00E57BA3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同品种不同品牌进行横向比较</w:t>
      </w:r>
      <w:r w:rsidR="00E57BA3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）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；</w:t>
      </w:r>
      <w:r w:rsidR="0059273C" w:rsidRPr="0059273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一票否决：</w:t>
      </w:r>
      <w:r w:rsidR="0059273C" w:rsidRPr="0059273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5</w:t>
      </w:r>
      <w:r w:rsidR="0059273C" w:rsidRPr="0059273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年内存在</w:t>
      </w:r>
      <w:r w:rsidR="0059273C" w:rsidRPr="0059273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GMP</w:t>
      </w:r>
      <w:r w:rsidR="0059273C" w:rsidRPr="0059273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证书收回、质量抽查不合格。</w:t>
      </w:r>
    </w:p>
    <w:p w14:paraId="4FDEAB3B" w14:textId="3D124FE4" w:rsidR="00DD0258" w:rsidRPr="00917FF9" w:rsidRDefault="00AF0960" w:rsidP="00917FF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涉及品种质量需参选企业</w:t>
      </w:r>
      <w:r w:rsidR="00373052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主动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提供能够覆盖有效期非连续时间生产的、生产间隔至少为</w:t>
      </w:r>
      <w:r w:rsidR="00373052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 w:rsidR="00373052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个月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的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年内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5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批次</w:t>
      </w:r>
      <w:r w:rsidRPr="00917FF9">
        <w:rPr>
          <w:rFonts w:ascii="Times New Roman" w:eastAsia="仿宋" w:hAnsi="Times New Roman" w:cs="Times New Roman" w:hint="eastAsia"/>
          <w:bCs/>
          <w:color w:val="000000" w:themeColor="text1"/>
          <w:sz w:val="24"/>
          <w:szCs w:val="24"/>
        </w:rPr>
        <w:t>样品</w:t>
      </w:r>
      <w:r w:rsidR="00373052">
        <w:rPr>
          <w:rFonts w:ascii="Times New Roman" w:eastAsia="仿宋" w:hAnsi="Times New Roman" w:cs="Times New Roman" w:hint="eastAsia"/>
          <w:bCs/>
          <w:color w:val="000000" w:themeColor="text1"/>
          <w:sz w:val="24"/>
          <w:szCs w:val="24"/>
        </w:rPr>
        <w:t>（</w:t>
      </w:r>
      <w:r w:rsidR="00373052"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每批</w:t>
      </w:r>
      <w:r w:rsidR="00373052"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 w:rsidR="00373052"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个最小包装盒）</w:t>
      </w:r>
      <w:r w:rsidRPr="00917FF9">
        <w:rPr>
          <w:rFonts w:ascii="Times New Roman" w:eastAsia="仿宋" w:hAnsi="Times New Roman" w:cs="Times New Roman" w:hint="eastAsia"/>
          <w:bCs/>
          <w:color w:val="000000" w:themeColor="text1"/>
          <w:sz w:val="24"/>
          <w:szCs w:val="24"/>
        </w:rPr>
        <w:t>的相关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原料药材</w:t>
      </w:r>
      <w:r w:rsidR="00373052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品种基原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鉴定</w:t>
      </w:r>
      <w:r w:rsidR="00B30A5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情况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说明、生产过程</w:t>
      </w:r>
      <w:r w:rsidR="00373052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</w:t>
      </w:r>
      <w:r w:rsidR="00B30A5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药材</w:t>
      </w:r>
      <w:r w:rsidR="00B30A5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-</w:t>
      </w:r>
      <w:r w:rsidR="00B30A5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饮片</w:t>
      </w:r>
      <w:r w:rsidR="00B30A5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-</w:t>
      </w:r>
      <w:r w:rsidR="00B30A5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中间体</w:t>
      </w:r>
      <w:r w:rsidR="00B30A5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-</w:t>
      </w:r>
      <w:r w:rsidR="00B30A5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产品</w:t>
      </w:r>
      <w:r w:rsidR="00373052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）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、样品（</w:t>
      </w:r>
      <w:r w:rsidR="00373052" w:rsidRPr="00373052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5</w:t>
      </w:r>
      <w:r w:rsidR="00373052" w:rsidRPr="00373052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批次</w:t>
      </w:r>
      <w:r w:rsidR="00373052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）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相关</w:t>
      </w:r>
      <w:r w:rsidR="0012090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质检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报告等</w:t>
      </w:r>
      <w:r w:rsidR="0012090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；</w:t>
      </w:r>
      <w:r w:rsidR="00373052"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近</w:t>
      </w:r>
      <w:r w:rsidR="00373052"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="00373052"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年《质量回顾分析报告》或《持续工艺确认报告》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相关材料供评选方抽检和复核</w:t>
      </w:r>
      <w:r w:rsidR="00373052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14:paraId="5DF17D23" w14:textId="5075A365" w:rsidR="00DD0258" w:rsidRPr="00917FF9" w:rsidRDefault="00AF0960" w:rsidP="00373052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3</w:t>
      </w:r>
      <w:r w:rsidRPr="00917FF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. 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报送应含“报名信息表（附件</w:t>
      </w:r>
      <w:r w:rsidR="00B30A55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）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+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材料清单（附件</w:t>
      </w:r>
      <w:r w:rsidR="00B30A55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）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+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附件</w:t>
      </w:r>
      <w:r w:rsidR="00B30A55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 w:rsidR="00877F3D" w:rsidRPr="00877F3D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覆盖评价细则内容</w:t>
      </w:r>
      <w:r w:rsidR="00877F3D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的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相关证明材料</w:t>
      </w:r>
      <w:r w:rsidR="00B30A55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”</w:t>
      </w:r>
      <w:r w:rsidR="00877F3D" w:rsidRPr="00E4696A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按顺序整理成册</w:t>
      </w:r>
      <w:r w:rsidR="00B30A55"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资料</w:t>
      </w:r>
      <w:r w:rsidR="001F0853"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+</w:t>
      </w:r>
      <w:r w:rsidR="00877F3D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5</w:t>
      </w:r>
      <w:r w:rsidR="00877F3D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批次</w:t>
      </w:r>
      <w:r w:rsidR="001F0853"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参评样品</w:t>
      </w:r>
      <w:r w:rsidRPr="00917FF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14:paraId="3CCCDC89" w14:textId="77777777" w:rsidR="001E76E4" w:rsidRPr="006A221F" w:rsidRDefault="001E76E4" w:rsidP="00917FF9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14:paraId="5B29FA0B" w14:textId="77777777" w:rsidR="00917FF9" w:rsidRPr="001E76E4" w:rsidRDefault="00917FF9" w:rsidP="00917FF9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  <w:r w:rsidRPr="001E76E4">
        <w:rPr>
          <w:rFonts w:ascii="Times New Roman" w:eastAsia="仿宋" w:hAnsi="Times New Roman" w:cs="Times New Roman" w:hint="eastAsia"/>
          <w:b/>
          <w:bCs/>
          <w:color w:val="000000" w:themeColor="text1"/>
          <w:sz w:val="28"/>
          <w:szCs w:val="28"/>
        </w:rPr>
        <w:t>参考文献：</w:t>
      </w:r>
    </w:p>
    <w:p w14:paraId="771D89F0" w14:textId="1BB566DD" w:rsidR="00373052" w:rsidRPr="001E76E4" w:rsidRDefault="00373052" w:rsidP="000C73F3">
      <w:pPr>
        <w:spacing w:line="400" w:lineRule="exac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[1]</w:t>
      </w:r>
      <w:r w:rsidR="000C73F3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 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以质量为核心的优质中成药评价标准研究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[J].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中国中药杂志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,2018,43(21):4356-4360</w:t>
      </w:r>
    </w:p>
    <w:p w14:paraId="4341C41C" w14:textId="77777777" w:rsidR="00373052" w:rsidRPr="001E76E4" w:rsidRDefault="00373052" w:rsidP="000C73F3">
      <w:pPr>
        <w:spacing w:line="400" w:lineRule="exac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[2] 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六味地黄丸产品优质性评价和分析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[J].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中国中药杂志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,2020,45(05):1194-1201</w:t>
      </w:r>
    </w:p>
    <w:p w14:paraId="4D0D2CD4" w14:textId="77777777" w:rsidR="00373052" w:rsidRPr="001E76E4" w:rsidRDefault="00373052" w:rsidP="000C73F3">
      <w:pPr>
        <w:spacing w:line="400" w:lineRule="exac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[3] 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以一致性为核心的中成药质量研究现状及优质评价新模式探讨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[J].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中国中药杂志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,2020,45(15):3740-3748.</w:t>
      </w:r>
    </w:p>
    <w:p w14:paraId="0D7DA5DF" w14:textId="77777777" w:rsidR="00373052" w:rsidRPr="001E76E4" w:rsidRDefault="00373052" w:rsidP="000C73F3">
      <w:pPr>
        <w:spacing w:line="400" w:lineRule="exac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[4] 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健胃消食片的优质评价应用分析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[J].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中国实验方剂学杂志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,2022,28(21):138-146.</w:t>
      </w:r>
    </w:p>
    <w:p w14:paraId="28512239" w14:textId="77777777" w:rsidR="00373052" w:rsidRPr="001E76E4" w:rsidRDefault="00373052" w:rsidP="000C73F3">
      <w:pPr>
        <w:spacing w:line="400" w:lineRule="exac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[5] 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基于优质中成药评价标准的复方丹参制剂生产质量优劣性分析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[J].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中国中药杂志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,2022,47(17):4814-4822.</w:t>
      </w:r>
    </w:p>
    <w:p w14:paraId="7E87230C" w14:textId="77777777" w:rsidR="000D0506" w:rsidRDefault="00373052" w:rsidP="006A0259">
      <w:pPr>
        <w:topLinePunct/>
        <w:spacing w:line="400" w:lineRule="exact"/>
        <w:jc w:val="lef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[6] Comprehensive quality consistency evaluation strategy and analysis of </w:t>
      </w:r>
    </w:p>
    <w:p w14:paraId="4B9A9FC0" w14:textId="2CD0CCA5" w:rsidR="00373052" w:rsidRPr="001E76E4" w:rsidRDefault="00373052" w:rsidP="006A0259">
      <w:pPr>
        <w:topLinePunct/>
        <w:spacing w:line="400" w:lineRule="exact"/>
        <w:jc w:val="lef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compound danshen</w:t>
      </w:r>
      <w:r w:rsidR="00B729B0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 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tablet</w:t>
      </w:r>
      <w:r w:rsidR="000D0506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s </w:t>
      </w:r>
      <w:r w:rsidR="00B729B0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[</w:t>
      </w:r>
      <w:r w:rsidR="00B729B0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J]. </w:t>
      </w:r>
      <w:r w:rsidRPr="006A0259">
        <w:rPr>
          <w:rFonts w:ascii="Times New Roman" w:eastAsia="仿宋" w:hAnsi="Times New Roman" w:cs="Times New Roman"/>
          <w:i/>
          <w:iCs/>
          <w:color w:val="000000" w:themeColor="text1"/>
          <w:sz w:val="24"/>
          <w:szCs w:val="24"/>
        </w:rPr>
        <w:t>Journal of Pharmaceutical and Biomedical Analysis</w:t>
      </w:r>
      <w:r w:rsidR="00B729B0">
        <w:rPr>
          <w:rFonts w:ascii="Times New Roman" w:eastAsia="仿宋" w:hAnsi="Times New Roman" w:cs="Times New Roman"/>
          <w:i/>
          <w:iCs/>
          <w:color w:val="000000" w:themeColor="text1"/>
          <w:sz w:val="24"/>
          <w:szCs w:val="24"/>
        </w:rPr>
        <w:t>,</w:t>
      </w:r>
      <w:r w:rsidR="0092584E">
        <w:rPr>
          <w:rFonts w:ascii="Times New Roman" w:eastAsia="仿宋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584E" w:rsidRPr="0092584E">
        <w:rPr>
          <w:rFonts w:ascii="Times New Roman" w:eastAsia="仿宋" w:hAnsi="Times New Roman" w:cs="Times New Roman"/>
          <w:i/>
          <w:iCs/>
          <w:color w:val="000000" w:themeColor="text1"/>
          <w:sz w:val="24"/>
          <w:szCs w:val="24"/>
        </w:rPr>
        <w:t>2022,</w:t>
      </w:r>
      <w:r w:rsidR="0092584E">
        <w:rPr>
          <w:rFonts w:ascii="Times New Roman" w:eastAsia="仿宋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584E" w:rsidRPr="0092584E">
        <w:rPr>
          <w:rFonts w:ascii="Times New Roman" w:eastAsia="仿宋" w:hAnsi="Times New Roman" w:cs="Times New Roman"/>
          <w:i/>
          <w:iCs/>
          <w:color w:val="000000" w:themeColor="text1"/>
          <w:sz w:val="24"/>
          <w:szCs w:val="24"/>
        </w:rPr>
        <w:t>219 ,114951.</w:t>
      </w:r>
    </w:p>
    <w:p w14:paraId="473755C5" w14:textId="14180E89" w:rsidR="00DD0258" w:rsidRDefault="00373052" w:rsidP="000C73F3">
      <w:pPr>
        <w:spacing w:line="400" w:lineRule="exac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[7] 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基于全流程控制的中成药优质评价标准改进研究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[J].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中国中药杂志</w:t>
      </w:r>
      <w:r w:rsidRPr="001E76E4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,2023,48(06):1700-1704</w:t>
      </w:r>
      <w:r w:rsidR="003F25E8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.</w:t>
      </w:r>
      <w:r w:rsidR="003F25E8" w:rsidRPr="001E76E4" w:rsidDel="003F25E8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 xml:space="preserve"> </w:t>
      </w:r>
    </w:p>
    <w:sectPr w:rsidR="00DD0258" w:rsidSect="0043658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F203" w14:textId="77777777" w:rsidR="00B20FEB" w:rsidRDefault="00B20FEB">
      <w:r>
        <w:separator/>
      </w:r>
    </w:p>
  </w:endnote>
  <w:endnote w:type="continuationSeparator" w:id="0">
    <w:p w14:paraId="2F320563" w14:textId="77777777" w:rsidR="00B20FEB" w:rsidRDefault="00B2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49108"/>
    </w:sdtPr>
    <w:sdtEndPr/>
    <w:sdtContent>
      <w:p w14:paraId="7E19D8DC" w14:textId="03FF30FD" w:rsidR="00DD0258" w:rsidRDefault="00AF0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88D" w:rsidRPr="0097488D">
          <w:rPr>
            <w:noProof/>
            <w:lang w:val="zh-CN"/>
          </w:rPr>
          <w:t>4</w:t>
        </w:r>
        <w:r>
          <w:fldChar w:fldCharType="end"/>
        </w:r>
      </w:p>
    </w:sdtContent>
  </w:sdt>
  <w:p w14:paraId="40A16BA1" w14:textId="77777777" w:rsidR="00DD0258" w:rsidRDefault="00DD02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834DA" w14:textId="77777777" w:rsidR="00B20FEB" w:rsidRDefault="00B20FEB">
      <w:r>
        <w:separator/>
      </w:r>
    </w:p>
  </w:footnote>
  <w:footnote w:type="continuationSeparator" w:id="0">
    <w:p w14:paraId="34FEA4F3" w14:textId="77777777" w:rsidR="00B20FEB" w:rsidRDefault="00B2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A575" w14:textId="77777777" w:rsidR="00DD0258" w:rsidRDefault="00DD0258">
    <w:pPr>
      <w:pStyle w:val="a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8BFF0E"/>
    <w:multiLevelType w:val="singleLevel"/>
    <w:tmpl w:val="B88BFF0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A3B771E"/>
    <w:multiLevelType w:val="singleLevel"/>
    <w:tmpl w:val="6A3B771E"/>
    <w:lvl w:ilvl="0">
      <w:start w:val="1"/>
      <w:numFmt w:val="decimal"/>
      <w:suff w:val="space"/>
      <w:lvlText w:val="%1."/>
      <w:lvlJc w:val="left"/>
      <w:pPr>
        <w:ind w:left="-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18"/>
    <w:rsid w:val="000077BF"/>
    <w:rsid w:val="0002368C"/>
    <w:rsid w:val="0002379C"/>
    <w:rsid w:val="0002561C"/>
    <w:rsid w:val="00032955"/>
    <w:rsid w:val="00033E19"/>
    <w:rsid w:val="00034C4A"/>
    <w:rsid w:val="00036554"/>
    <w:rsid w:val="00044AB2"/>
    <w:rsid w:val="00052071"/>
    <w:rsid w:val="00056E52"/>
    <w:rsid w:val="000577C7"/>
    <w:rsid w:val="00060B9B"/>
    <w:rsid w:val="00066670"/>
    <w:rsid w:val="000666C0"/>
    <w:rsid w:val="00080F45"/>
    <w:rsid w:val="0008107C"/>
    <w:rsid w:val="00087C7E"/>
    <w:rsid w:val="00092493"/>
    <w:rsid w:val="00092AE0"/>
    <w:rsid w:val="000A15C3"/>
    <w:rsid w:val="000A4529"/>
    <w:rsid w:val="000B17A1"/>
    <w:rsid w:val="000C2D7C"/>
    <w:rsid w:val="000C2EA5"/>
    <w:rsid w:val="000C73F3"/>
    <w:rsid w:val="000D0506"/>
    <w:rsid w:val="000D17F5"/>
    <w:rsid w:val="000D2109"/>
    <w:rsid w:val="000E57CB"/>
    <w:rsid w:val="000E7DAC"/>
    <w:rsid w:val="000F419F"/>
    <w:rsid w:val="000F42F3"/>
    <w:rsid w:val="000F705B"/>
    <w:rsid w:val="00120905"/>
    <w:rsid w:val="00125B1B"/>
    <w:rsid w:val="00126CDD"/>
    <w:rsid w:val="001271DD"/>
    <w:rsid w:val="00140EC6"/>
    <w:rsid w:val="0015585A"/>
    <w:rsid w:val="001632A8"/>
    <w:rsid w:val="001646F9"/>
    <w:rsid w:val="00166372"/>
    <w:rsid w:val="00191764"/>
    <w:rsid w:val="001A6E34"/>
    <w:rsid w:val="001B0132"/>
    <w:rsid w:val="001B7374"/>
    <w:rsid w:val="001B7D83"/>
    <w:rsid w:val="001C3130"/>
    <w:rsid w:val="001C47AA"/>
    <w:rsid w:val="001D7967"/>
    <w:rsid w:val="001E76E4"/>
    <w:rsid w:val="001F0853"/>
    <w:rsid w:val="00221B57"/>
    <w:rsid w:val="00225C48"/>
    <w:rsid w:val="00227468"/>
    <w:rsid w:val="00233B38"/>
    <w:rsid w:val="00241FB6"/>
    <w:rsid w:val="00250335"/>
    <w:rsid w:val="00256983"/>
    <w:rsid w:val="00257F9E"/>
    <w:rsid w:val="00271074"/>
    <w:rsid w:val="00271678"/>
    <w:rsid w:val="0027685B"/>
    <w:rsid w:val="00277B96"/>
    <w:rsid w:val="0028599D"/>
    <w:rsid w:val="002911B9"/>
    <w:rsid w:val="002A0021"/>
    <w:rsid w:val="002A0143"/>
    <w:rsid w:val="002A0E6D"/>
    <w:rsid w:val="002A2943"/>
    <w:rsid w:val="002A4823"/>
    <w:rsid w:val="002B3B8A"/>
    <w:rsid w:val="002C1A6A"/>
    <w:rsid w:val="002D17F3"/>
    <w:rsid w:val="002D6356"/>
    <w:rsid w:val="002E0FCF"/>
    <w:rsid w:val="002E5F87"/>
    <w:rsid w:val="002F5478"/>
    <w:rsid w:val="00307A9F"/>
    <w:rsid w:val="00311095"/>
    <w:rsid w:val="0031469B"/>
    <w:rsid w:val="003146CE"/>
    <w:rsid w:val="00320E0C"/>
    <w:rsid w:val="003216EF"/>
    <w:rsid w:val="0032239A"/>
    <w:rsid w:val="00333389"/>
    <w:rsid w:val="00341BBA"/>
    <w:rsid w:val="00342926"/>
    <w:rsid w:val="00342B18"/>
    <w:rsid w:val="00346085"/>
    <w:rsid w:val="00360B93"/>
    <w:rsid w:val="00370ABC"/>
    <w:rsid w:val="00371636"/>
    <w:rsid w:val="00373052"/>
    <w:rsid w:val="00374C5C"/>
    <w:rsid w:val="00380557"/>
    <w:rsid w:val="003851F1"/>
    <w:rsid w:val="003879CA"/>
    <w:rsid w:val="0039183E"/>
    <w:rsid w:val="00392210"/>
    <w:rsid w:val="00395BBA"/>
    <w:rsid w:val="003B7FF4"/>
    <w:rsid w:val="003D07E6"/>
    <w:rsid w:val="003D4159"/>
    <w:rsid w:val="003E181B"/>
    <w:rsid w:val="003E5528"/>
    <w:rsid w:val="003F25E8"/>
    <w:rsid w:val="003F39C8"/>
    <w:rsid w:val="003F63E2"/>
    <w:rsid w:val="004030D2"/>
    <w:rsid w:val="00403B5E"/>
    <w:rsid w:val="00414E16"/>
    <w:rsid w:val="00420314"/>
    <w:rsid w:val="00431E56"/>
    <w:rsid w:val="00436580"/>
    <w:rsid w:val="00442C5F"/>
    <w:rsid w:val="00442D5E"/>
    <w:rsid w:val="0044498D"/>
    <w:rsid w:val="0046080B"/>
    <w:rsid w:val="0046737A"/>
    <w:rsid w:val="00475197"/>
    <w:rsid w:val="00485D9B"/>
    <w:rsid w:val="00490F3C"/>
    <w:rsid w:val="004C0FAB"/>
    <w:rsid w:val="004C5C62"/>
    <w:rsid w:val="004E4833"/>
    <w:rsid w:val="004E668E"/>
    <w:rsid w:val="004F3312"/>
    <w:rsid w:val="00504ED9"/>
    <w:rsid w:val="005140F3"/>
    <w:rsid w:val="005155F7"/>
    <w:rsid w:val="00520211"/>
    <w:rsid w:val="00523050"/>
    <w:rsid w:val="005367F3"/>
    <w:rsid w:val="00537BDF"/>
    <w:rsid w:val="00551149"/>
    <w:rsid w:val="00552534"/>
    <w:rsid w:val="00554858"/>
    <w:rsid w:val="005562D0"/>
    <w:rsid w:val="00561B67"/>
    <w:rsid w:val="00564C9C"/>
    <w:rsid w:val="0057643D"/>
    <w:rsid w:val="00581D89"/>
    <w:rsid w:val="00585BED"/>
    <w:rsid w:val="00587610"/>
    <w:rsid w:val="0059273C"/>
    <w:rsid w:val="0059719E"/>
    <w:rsid w:val="005A2FC5"/>
    <w:rsid w:val="005B3FDE"/>
    <w:rsid w:val="005C27E2"/>
    <w:rsid w:val="005C3E35"/>
    <w:rsid w:val="005D0393"/>
    <w:rsid w:val="005E058F"/>
    <w:rsid w:val="005E420B"/>
    <w:rsid w:val="005F181F"/>
    <w:rsid w:val="005F2626"/>
    <w:rsid w:val="005F7442"/>
    <w:rsid w:val="006034D3"/>
    <w:rsid w:val="0060773C"/>
    <w:rsid w:val="006223E5"/>
    <w:rsid w:val="00625053"/>
    <w:rsid w:val="006475B4"/>
    <w:rsid w:val="00657990"/>
    <w:rsid w:val="00663514"/>
    <w:rsid w:val="0068601E"/>
    <w:rsid w:val="00687CEE"/>
    <w:rsid w:val="00691F39"/>
    <w:rsid w:val="006A0259"/>
    <w:rsid w:val="006A221F"/>
    <w:rsid w:val="006A5F85"/>
    <w:rsid w:val="006C2197"/>
    <w:rsid w:val="006C4A8C"/>
    <w:rsid w:val="006D4509"/>
    <w:rsid w:val="006E471B"/>
    <w:rsid w:val="006E56B7"/>
    <w:rsid w:val="006E7EE3"/>
    <w:rsid w:val="0070233C"/>
    <w:rsid w:val="007121CF"/>
    <w:rsid w:val="00723214"/>
    <w:rsid w:val="0073028D"/>
    <w:rsid w:val="00730CA5"/>
    <w:rsid w:val="00731041"/>
    <w:rsid w:val="00745E6F"/>
    <w:rsid w:val="00774D00"/>
    <w:rsid w:val="00775228"/>
    <w:rsid w:val="00783663"/>
    <w:rsid w:val="00791504"/>
    <w:rsid w:val="007C20B3"/>
    <w:rsid w:val="0080275D"/>
    <w:rsid w:val="00804B23"/>
    <w:rsid w:val="0081156B"/>
    <w:rsid w:val="008238CA"/>
    <w:rsid w:val="0082785C"/>
    <w:rsid w:val="0083275B"/>
    <w:rsid w:val="0083430D"/>
    <w:rsid w:val="00840160"/>
    <w:rsid w:val="00841253"/>
    <w:rsid w:val="00845FB7"/>
    <w:rsid w:val="008470C7"/>
    <w:rsid w:val="00847299"/>
    <w:rsid w:val="008515F5"/>
    <w:rsid w:val="008520FC"/>
    <w:rsid w:val="00855DF7"/>
    <w:rsid w:val="00861438"/>
    <w:rsid w:val="00877F3D"/>
    <w:rsid w:val="00881763"/>
    <w:rsid w:val="0088497B"/>
    <w:rsid w:val="00896BA5"/>
    <w:rsid w:val="00897C91"/>
    <w:rsid w:val="008A064F"/>
    <w:rsid w:val="008A33D3"/>
    <w:rsid w:val="008A4F49"/>
    <w:rsid w:val="008A68CF"/>
    <w:rsid w:val="008B00AB"/>
    <w:rsid w:val="008B3D9A"/>
    <w:rsid w:val="008C4C47"/>
    <w:rsid w:val="008D175E"/>
    <w:rsid w:val="008D21EF"/>
    <w:rsid w:val="008D226D"/>
    <w:rsid w:val="008D29AB"/>
    <w:rsid w:val="008D4EBC"/>
    <w:rsid w:val="008D5E2B"/>
    <w:rsid w:val="008D76D4"/>
    <w:rsid w:val="008E5218"/>
    <w:rsid w:val="008F6668"/>
    <w:rsid w:val="00901FDF"/>
    <w:rsid w:val="00903373"/>
    <w:rsid w:val="00917FF9"/>
    <w:rsid w:val="0092584E"/>
    <w:rsid w:val="009343B3"/>
    <w:rsid w:val="0095258C"/>
    <w:rsid w:val="009540DB"/>
    <w:rsid w:val="00960456"/>
    <w:rsid w:val="00963DE6"/>
    <w:rsid w:val="009703FE"/>
    <w:rsid w:val="0097488D"/>
    <w:rsid w:val="009876A6"/>
    <w:rsid w:val="00994F9A"/>
    <w:rsid w:val="00996F69"/>
    <w:rsid w:val="009A38D5"/>
    <w:rsid w:val="009B62B1"/>
    <w:rsid w:val="009C1EF3"/>
    <w:rsid w:val="009C6908"/>
    <w:rsid w:val="009D10BF"/>
    <w:rsid w:val="009D2F7C"/>
    <w:rsid w:val="009E2058"/>
    <w:rsid w:val="009E212F"/>
    <w:rsid w:val="009E49AA"/>
    <w:rsid w:val="009F2793"/>
    <w:rsid w:val="00A00E76"/>
    <w:rsid w:val="00A06BEA"/>
    <w:rsid w:val="00A1279E"/>
    <w:rsid w:val="00A16541"/>
    <w:rsid w:val="00A17E13"/>
    <w:rsid w:val="00A32444"/>
    <w:rsid w:val="00A336F3"/>
    <w:rsid w:val="00A37AFC"/>
    <w:rsid w:val="00A4277F"/>
    <w:rsid w:val="00A50ED9"/>
    <w:rsid w:val="00A551F5"/>
    <w:rsid w:val="00A75441"/>
    <w:rsid w:val="00A927B8"/>
    <w:rsid w:val="00A9295F"/>
    <w:rsid w:val="00AA183C"/>
    <w:rsid w:val="00AA6933"/>
    <w:rsid w:val="00AB02A0"/>
    <w:rsid w:val="00AB2798"/>
    <w:rsid w:val="00AC22DF"/>
    <w:rsid w:val="00AC572A"/>
    <w:rsid w:val="00AD402A"/>
    <w:rsid w:val="00AD7F10"/>
    <w:rsid w:val="00AE24E0"/>
    <w:rsid w:val="00AF0960"/>
    <w:rsid w:val="00AF3408"/>
    <w:rsid w:val="00AF64B1"/>
    <w:rsid w:val="00AF6E0E"/>
    <w:rsid w:val="00B0550E"/>
    <w:rsid w:val="00B06612"/>
    <w:rsid w:val="00B07549"/>
    <w:rsid w:val="00B1049A"/>
    <w:rsid w:val="00B20FEB"/>
    <w:rsid w:val="00B26AD8"/>
    <w:rsid w:val="00B30A55"/>
    <w:rsid w:val="00B330A3"/>
    <w:rsid w:val="00B427B8"/>
    <w:rsid w:val="00B46603"/>
    <w:rsid w:val="00B64322"/>
    <w:rsid w:val="00B71A1F"/>
    <w:rsid w:val="00B729B0"/>
    <w:rsid w:val="00B7383B"/>
    <w:rsid w:val="00B81197"/>
    <w:rsid w:val="00B8270A"/>
    <w:rsid w:val="00B84A03"/>
    <w:rsid w:val="00B84C51"/>
    <w:rsid w:val="00BB105F"/>
    <w:rsid w:val="00BB15D2"/>
    <w:rsid w:val="00BC1F8D"/>
    <w:rsid w:val="00BC21F9"/>
    <w:rsid w:val="00BC6A9A"/>
    <w:rsid w:val="00BE03F0"/>
    <w:rsid w:val="00BE3D9B"/>
    <w:rsid w:val="00BE477A"/>
    <w:rsid w:val="00BF57DD"/>
    <w:rsid w:val="00BF72A6"/>
    <w:rsid w:val="00C011ED"/>
    <w:rsid w:val="00C06286"/>
    <w:rsid w:val="00C07D56"/>
    <w:rsid w:val="00C179EB"/>
    <w:rsid w:val="00C23BE0"/>
    <w:rsid w:val="00C23C7C"/>
    <w:rsid w:val="00C23F0C"/>
    <w:rsid w:val="00C252A9"/>
    <w:rsid w:val="00C269EA"/>
    <w:rsid w:val="00C26B84"/>
    <w:rsid w:val="00C34FA0"/>
    <w:rsid w:val="00C42587"/>
    <w:rsid w:val="00C514B7"/>
    <w:rsid w:val="00C560F6"/>
    <w:rsid w:val="00C61793"/>
    <w:rsid w:val="00C76376"/>
    <w:rsid w:val="00C82F64"/>
    <w:rsid w:val="00C8516A"/>
    <w:rsid w:val="00C85741"/>
    <w:rsid w:val="00C863AC"/>
    <w:rsid w:val="00C91467"/>
    <w:rsid w:val="00C91649"/>
    <w:rsid w:val="00C9169F"/>
    <w:rsid w:val="00CA2F21"/>
    <w:rsid w:val="00CD393F"/>
    <w:rsid w:val="00CE2623"/>
    <w:rsid w:val="00CE280C"/>
    <w:rsid w:val="00CF228B"/>
    <w:rsid w:val="00CF601E"/>
    <w:rsid w:val="00CF71D8"/>
    <w:rsid w:val="00CF789B"/>
    <w:rsid w:val="00D05B2B"/>
    <w:rsid w:val="00D16959"/>
    <w:rsid w:val="00D343AB"/>
    <w:rsid w:val="00D36346"/>
    <w:rsid w:val="00D469E0"/>
    <w:rsid w:val="00D557C9"/>
    <w:rsid w:val="00D62E80"/>
    <w:rsid w:val="00D6464E"/>
    <w:rsid w:val="00D65F18"/>
    <w:rsid w:val="00D75525"/>
    <w:rsid w:val="00D83AD7"/>
    <w:rsid w:val="00DA681A"/>
    <w:rsid w:val="00DC46C7"/>
    <w:rsid w:val="00DC698F"/>
    <w:rsid w:val="00DD0258"/>
    <w:rsid w:val="00DD398D"/>
    <w:rsid w:val="00DD6A0E"/>
    <w:rsid w:val="00DE0BC4"/>
    <w:rsid w:val="00E0660A"/>
    <w:rsid w:val="00E118A8"/>
    <w:rsid w:val="00E11F22"/>
    <w:rsid w:val="00E16513"/>
    <w:rsid w:val="00E17971"/>
    <w:rsid w:val="00E202F5"/>
    <w:rsid w:val="00E25D9F"/>
    <w:rsid w:val="00E30CC2"/>
    <w:rsid w:val="00E35D83"/>
    <w:rsid w:val="00E47D09"/>
    <w:rsid w:val="00E55BC5"/>
    <w:rsid w:val="00E57BA3"/>
    <w:rsid w:val="00E71988"/>
    <w:rsid w:val="00E73282"/>
    <w:rsid w:val="00E75067"/>
    <w:rsid w:val="00E866EE"/>
    <w:rsid w:val="00E87CA8"/>
    <w:rsid w:val="00E93E09"/>
    <w:rsid w:val="00EA2A59"/>
    <w:rsid w:val="00EA3FF0"/>
    <w:rsid w:val="00EB3B2F"/>
    <w:rsid w:val="00EB4AF0"/>
    <w:rsid w:val="00EB6920"/>
    <w:rsid w:val="00EC056B"/>
    <w:rsid w:val="00EE1370"/>
    <w:rsid w:val="00EF4491"/>
    <w:rsid w:val="00F01BF4"/>
    <w:rsid w:val="00F162B8"/>
    <w:rsid w:val="00F2109A"/>
    <w:rsid w:val="00F25AC4"/>
    <w:rsid w:val="00F349AE"/>
    <w:rsid w:val="00F40481"/>
    <w:rsid w:val="00F41BD1"/>
    <w:rsid w:val="00F4383A"/>
    <w:rsid w:val="00F461DC"/>
    <w:rsid w:val="00F705FC"/>
    <w:rsid w:val="00F71E68"/>
    <w:rsid w:val="00FB094B"/>
    <w:rsid w:val="00FB2890"/>
    <w:rsid w:val="00FB31ED"/>
    <w:rsid w:val="00FD6EB7"/>
    <w:rsid w:val="00FF4F6C"/>
    <w:rsid w:val="00FF7992"/>
    <w:rsid w:val="084A797C"/>
    <w:rsid w:val="09D72950"/>
    <w:rsid w:val="0C6E2311"/>
    <w:rsid w:val="0D1A4745"/>
    <w:rsid w:val="100801E7"/>
    <w:rsid w:val="14167E27"/>
    <w:rsid w:val="1D9518EC"/>
    <w:rsid w:val="23AC6D8C"/>
    <w:rsid w:val="2F674AE8"/>
    <w:rsid w:val="32513ED5"/>
    <w:rsid w:val="36A96C89"/>
    <w:rsid w:val="37266F84"/>
    <w:rsid w:val="39583604"/>
    <w:rsid w:val="3CED166F"/>
    <w:rsid w:val="3E8A514C"/>
    <w:rsid w:val="40A17C6B"/>
    <w:rsid w:val="490619F6"/>
    <w:rsid w:val="4D3A1516"/>
    <w:rsid w:val="4DA762BB"/>
    <w:rsid w:val="53AC14F3"/>
    <w:rsid w:val="56CB565A"/>
    <w:rsid w:val="581444AF"/>
    <w:rsid w:val="58833DF3"/>
    <w:rsid w:val="5A91724E"/>
    <w:rsid w:val="679D5876"/>
    <w:rsid w:val="6AAC182A"/>
    <w:rsid w:val="6C097F92"/>
    <w:rsid w:val="6D267DA4"/>
    <w:rsid w:val="76822DA0"/>
    <w:rsid w:val="79AE2852"/>
    <w:rsid w:val="7C500D71"/>
    <w:rsid w:val="7EB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3078CD"/>
  <w15:docId w15:val="{86041E0A-2760-4643-9911-05849088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0661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7F212-C62B-4654-BF95-36F39ED7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2484</Characters>
  <Application>Microsoft Office Word</Application>
  <DocSecurity>0</DocSecurity>
  <Lines>20</Lines>
  <Paragraphs>5</Paragraphs>
  <ScaleCrop>false</ScaleCrop>
  <Company>Toshiba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liuan</dc:creator>
  <cp:lastModifiedBy>yuzhen</cp:lastModifiedBy>
  <cp:revision>7</cp:revision>
  <cp:lastPrinted>2023-06-29T05:08:00Z</cp:lastPrinted>
  <dcterms:created xsi:type="dcterms:W3CDTF">2023-06-29T05:06:00Z</dcterms:created>
  <dcterms:modified xsi:type="dcterms:W3CDTF">2023-06-30T00:14:00Z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131B66D861464B5895A0567E736FE8CD</vt:lpwstr>
  </property>
</Properties>
</file>